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07C" w:rsidRPr="0011107C" w:rsidRDefault="0011107C" w:rsidP="0011107C">
      <w:pPr>
        <w:pStyle w:val="Title"/>
        <w:spacing w:line="276" w:lineRule="auto"/>
        <w:ind w:right="-471"/>
        <w:jc w:val="left"/>
        <w:rPr>
          <w:rFonts w:ascii="Arial Black" w:hAnsi="Arial Black"/>
          <w:b/>
          <w:bCs/>
          <w:sz w:val="44"/>
          <w:szCs w:val="40"/>
        </w:rPr>
      </w:pPr>
      <w:bookmarkStart w:id="0" w:name="_gjdgxs" w:colFirst="0" w:colLast="0"/>
      <w:bookmarkEnd w:id="0"/>
      <w:r w:rsidRPr="0011107C">
        <w:rPr>
          <w:rFonts w:ascii="Arial Black" w:hAnsi="Arial Black"/>
          <w:b/>
          <w:bCs/>
          <w:sz w:val="44"/>
          <w:szCs w:val="40"/>
        </w:rPr>
        <w:t>First Malware Analysis Course</w:t>
      </w:r>
    </w:p>
    <w:p w:rsidR="0011107C" w:rsidRPr="007831CA" w:rsidRDefault="0011107C" w:rsidP="0011107C">
      <w:pPr>
        <w:pStyle w:val="Heading1"/>
        <w:spacing w:line="276" w:lineRule="auto"/>
        <w:ind w:right="-471"/>
        <w:rPr>
          <w:rFonts w:ascii="Arial" w:hAnsi="Arial" w:cs="Arial"/>
        </w:rPr>
      </w:pPr>
      <w:bookmarkStart w:id="1" w:name="_30j0zll" w:colFirst="0" w:colLast="0"/>
      <w:bookmarkEnd w:id="1"/>
      <w:r w:rsidRPr="007831CA">
        <w:rPr>
          <w:rFonts w:ascii="Arial" w:hAnsi="Arial" w:cs="Arial"/>
        </w:rPr>
        <w:t>Objective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A </w:t>
      </w:r>
      <w:r w:rsidRPr="007831CA">
        <w:rPr>
          <w:rFonts w:ascii="Arial" w:hAnsi="Arial" w:cs="Arial"/>
        </w:rPr>
        <w:t>one</w:t>
      </w:r>
      <w:r>
        <w:rPr>
          <w:rFonts w:ascii="Arial" w:hAnsi="Arial" w:cs="Arial"/>
        </w:rPr>
        <w:t>-day</w:t>
      </w:r>
      <w:r w:rsidRPr="007831CA">
        <w:rPr>
          <w:rFonts w:ascii="Arial" w:hAnsi="Arial" w:cs="Arial"/>
        </w:rPr>
        <w:t xml:space="preserve"> course focused around rapid triage of malicious content and next steps. These steps can be taken by a small team when targeted by specific malware. After completion of this process you can hand off to your AV vendor with a summary of your findings and links to any reports that you have generated. The aim is to complete this process in about 30 minutes, have a definite answer whether something is malware or not, and give the AV vendor enough to go on as a starting point.</w:t>
      </w:r>
    </w:p>
    <w:p w:rsidR="0011107C" w:rsidRPr="007831CA" w:rsidRDefault="0011107C" w:rsidP="0011107C">
      <w:pPr>
        <w:pStyle w:val="Heading1"/>
        <w:spacing w:line="276" w:lineRule="auto"/>
        <w:ind w:right="-471"/>
        <w:rPr>
          <w:rFonts w:ascii="Arial" w:hAnsi="Arial" w:cs="Arial"/>
        </w:rPr>
      </w:pPr>
      <w:bookmarkStart w:id="2" w:name="_1fob9te" w:colFirst="0" w:colLast="0"/>
      <w:bookmarkEnd w:id="2"/>
      <w:r w:rsidRPr="007831CA">
        <w:rPr>
          <w:rFonts w:ascii="Arial" w:hAnsi="Arial" w:cs="Arial"/>
        </w:rPr>
        <w:t>Learning objectives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After this course, you will be able to</w:t>
      </w:r>
    </w:p>
    <w:p w:rsidR="0011107C" w:rsidRPr="007831CA" w:rsidRDefault="0011107C" w:rsidP="0011107C">
      <w:pPr>
        <w:numPr>
          <w:ilvl w:val="0"/>
          <w:numId w:val="9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Understand and </w:t>
      </w:r>
      <w:r w:rsidRPr="007831CA">
        <w:rPr>
          <w:rFonts w:ascii="Arial" w:hAnsi="Arial" w:cs="Arial"/>
        </w:rPr>
        <w:t>strategies</w:t>
      </w:r>
      <w:r w:rsidRPr="007831CA">
        <w:rPr>
          <w:rFonts w:ascii="Arial" w:hAnsi="Arial" w:cs="Arial"/>
        </w:rPr>
        <w:t xml:space="preserve"> the use of malware analysis tools</w:t>
      </w:r>
    </w:p>
    <w:p w:rsidR="0011107C" w:rsidRPr="007831CA" w:rsidRDefault="0011107C" w:rsidP="0011107C">
      <w:pPr>
        <w:numPr>
          <w:ilvl w:val="0"/>
          <w:numId w:val="9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Understand aspects of the cybercrime ecosystem and the role played by malware</w:t>
      </w:r>
    </w:p>
    <w:p w:rsidR="0011107C" w:rsidRPr="007831CA" w:rsidRDefault="0011107C" w:rsidP="0011107C">
      <w:pPr>
        <w:numPr>
          <w:ilvl w:val="0"/>
          <w:numId w:val="9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Be able to model attacks and think strategically about </w:t>
      </w:r>
      <w:r w:rsidRPr="007831CA">
        <w:rPr>
          <w:rFonts w:ascii="Arial" w:hAnsi="Arial" w:cs="Arial"/>
        </w:rPr>
        <w:t>defenses</w:t>
      </w:r>
    </w:p>
    <w:p w:rsidR="0011107C" w:rsidRPr="007831CA" w:rsidRDefault="0011107C" w:rsidP="0011107C">
      <w:pPr>
        <w:numPr>
          <w:ilvl w:val="0"/>
          <w:numId w:val="9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Be able to </w:t>
      </w:r>
      <w:r w:rsidRPr="007831CA">
        <w:rPr>
          <w:rFonts w:ascii="Arial" w:hAnsi="Arial" w:cs="Arial"/>
        </w:rPr>
        <w:t>analyze</w:t>
      </w:r>
      <w:r w:rsidRPr="007831CA">
        <w:rPr>
          <w:rFonts w:ascii="Arial" w:hAnsi="Arial" w:cs="Arial"/>
        </w:rPr>
        <w:t xml:space="preserve"> malware to a high level quickly and securely</w:t>
      </w:r>
    </w:p>
    <w:p w:rsidR="0011107C" w:rsidRPr="007831CA" w:rsidRDefault="0011107C" w:rsidP="0011107C">
      <w:pPr>
        <w:numPr>
          <w:ilvl w:val="0"/>
          <w:numId w:val="9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Be able to share your conclusions with others</w:t>
      </w:r>
    </w:p>
    <w:p w:rsidR="0011107C" w:rsidRPr="007831CA" w:rsidRDefault="0011107C" w:rsidP="0011107C">
      <w:pPr>
        <w:pStyle w:val="Heading1"/>
        <w:spacing w:line="276" w:lineRule="auto"/>
        <w:ind w:right="-471"/>
        <w:rPr>
          <w:rFonts w:ascii="Arial" w:hAnsi="Arial" w:cs="Arial"/>
        </w:rPr>
      </w:pPr>
      <w:bookmarkStart w:id="3" w:name="_3znysh7" w:colFirst="0" w:colLast="0"/>
      <w:bookmarkEnd w:id="3"/>
      <w:r w:rsidRPr="007831CA">
        <w:rPr>
          <w:rFonts w:ascii="Arial" w:hAnsi="Arial" w:cs="Arial"/>
        </w:rPr>
        <w:t>Timings</w:t>
      </w:r>
    </w:p>
    <w:p w:rsidR="0011107C" w:rsidRPr="007831CA" w:rsidRDefault="0011107C" w:rsidP="0011107C">
      <w:pPr>
        <w:spacing w:line="276" w:lineRule="auto"/>
        <w:ind w:right="-471"/>
        <w:jc w:val="left"/>
        <w:rPr>
          <w:rFonts w:ascii="Arial" w:hAnsi="Arial" w:cs="Arial"/>
        </w:rPr>
      </w:pPr>
      <w:r w:rsidRPr="007831CA">
        <w:rPr>
          <w:rFonts w:ascii="Arial" w:hAnsi="Arial" w:cs="Arial"/>
        </w:rPr>
        <w:t>The total duration of the course is 450 minutes (7.5 hours)</w:t>
      </w:r>
      <w:r>
        <w:rPr>
          <w:rFonts w:ascii="Arial" w:hAnsi="Arial" w:cs="Arial"/>
        </w:rPr>
        <w:br/>
      </w:r>
    </w:p>
    <w:tbl>
      <w:tblPr>
        <w:tblW w:w="90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5"/>
        <w:gridCol w:w="3630"/>
        <w:gridCol w:w="4410"/>
      </w:tblGrid>
      <w:tr w:rsidR="0011107C" w:rsidRPr="007831CA" w:rsidTr="00A8176F">
        <w:tc>
          <w:tcPr>
            <w:tcW w:w="9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  <w:b/>
              </w:rPr>
            </w:pPr>
            <w:r w:rsidRPr="007831CA">
              <w:rPr>
                <w:rFonts w:ascii="Arial" w:hAnsi="Arial" w:cs="Arial"/>
                <w:b/>
              </w:rPr>
              <w:t>Module</w:t>
            </w:r>
          </w:p>
        </w:tc>
        <w:tc>
          <w:tcPr>
            <w:tcW w:w="36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  <w:b/>
              </w:rPr>
            </w:pPr>
            <w:r w:rsidRPr="007831CA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44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  <w:b/>
              </w:rPr>
            </w:pPr>
            <w:r w:rsidRPr="007831CA">
              <w:rPr>
                <w:rFonts w:ascii="Arial" w:hAnsi="Arial" w:cs="Arial"/>
                <w:b/>
              </w:rPr>
              <w:t>Duration</w:t>
            </w:r>
          </w:p>
        </w:tc>
      </w:tr>
      <w:tr w:rsidR="0011107C" w:rsidRPr="007831CA" w:rsidTr="00A8176F"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</w:t>
            </w:r>
          </w:p>
        </w:tc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The malware ecosystem</w:t>
            </w:r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120 minutes</w:t>
            </w:r>
          </w:p>
        </w:tc>
      </w:tr>
      <w:tr w:rsidR="0011107C" w:rsidRPr="007831CA" w:rsidTr="00A8176F"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2</w:t>
            </w:r>
          </w:p>
        </w:tc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Analyzing</w:t>
            </w:r>
            <w:r w:rsidRPr="007831CA">
              <w:rPr>
                <w:rFonts w:ascii="Arial" w:hAnsi="Arial" w:cs="Arial"/>
              </w:rPr>
              <w:t xml:space="preserve"> malware artefacts</w:t>
            </w:r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240 minutes</w:t>
            </w:r>
          </w:p>
        </w:tc>
      </w:tr>
      <w:tr w:rsidR="0011107C" w:rsidRPr="007831CA" w:rsidTr="00A8176F"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3</w:t>
            </w:r>
          </w:p>
        </w:tc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Sharing artefact information</w:t>
            </w:r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90 minutes</w:t>
            </w:r>
          </w:p>
        </w:tc>
      </w:tr>
    </w:tbl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</w:p>
    <w:p w:rsidR="0011107C" w:rsidRPr="007831CA" w:rsidRDefault="0011107C" w:rsidP="0011107C">
      <w:pPr>
        <w:pStyle w:val="Heading1"/>
        <w:spacing w:line="276" w:lineRule="auto"/>
        <w:ind w:right="-471"/>
        <w:rPr>
          <w:rFonts w:ascii="Arial" w:hAnsi="Arial" w:cs="Arial"/>
        </w:rPr>
      </w:pPr>
      <w:bookmarkStart w:id="4" w:name="_2et92p0" w:colFirst="0" w:colLast="0"/>
      <w:bookmarkEnd w:id="4"/>
      <w:r w:rsidRPr="007831CA">
        <w:rPr>
          <w:rFonts w:ascii="Arial" w:hAnsi="Arial" w:cs="Arial"/>
        </w:rPr>
        <w:lastRenderedPageBreak/>
        <w:t>Content</w:t>
      </w:r>
    </w:p>
    <w:p w:rsidR="0011107C" w:rsidRPr="007831CA" w:rsidRDefault="0011107C" w:rsidP="0011107C">
      <w:pPr>
        <w:pStyle w:val="Heading2"/>
        <w:spacing w:line="276" w:lineRule="auto"/>
        <w:ind w:right="-471"/>
        <w:rPr>
          <w:rFonts w:ascii="Arial" w:hAnsi="Arial" w:cs="Arial"/>
        </w:rPr>
      </w:pPr>
      <w:bookmarkStart w:id="5" w:name="_tyjcwt" w:colFirst="0" w:colLast="0"/>
      <w:bookmarkEnd w:id="5"/>
      <w:r w:rsidRPr="007831CA">
        <w:rPr>
          <w:rFonts w:ascii="Arial" w:hAnsi="Arial" w:cs="Arial"/>
        </w:rPr>
        <w:t>Module 1: The malware ecosystem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The first module focuses on the threat landscape and how it changes. It discusses the types of malware and how they fit into the criminal ecosystem. This module also contains a discussion of attack modelling, following the MITRE model, discusses the kill chain, and finishes with an overview of techniques attackers use to compromise platforms.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Overview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The threat landscape and how it changes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What is a threat </w:t>
      </w:r>
      <w:proofErr w:type="gramStart"/>
      <w:r w:rsidRPr="007831CA">
        <w:rPr>
          <w:rFonts w:ascii="Arial" w:hAnsi="Arial" w:cs="Arial"/>
        </w:rPr>
        <w:t>landscape</w:t>
      </w:r>
      <w:proofErr w:type="gramEnd"/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How does it change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How to become aware of these changes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Overview of compromise techniques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Malicious download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Downloaders through scripts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Malicious documents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Discuss models for cyberattack and what they mean for </w:t>
      </w:r>
      <w:r w:rsidRPr="007831CA">
        <w:rPr>
          <w:rFonts w:ascii="Arial" w:hAnsi="Arial" w:cs="Arial"/>
        </w:rPr>
        <w:t>defense</w:t>
      </w:r>
    </w:p>
    <w:p w:rsidR="0011107C" w:rsidRPr="007831CA" w:rsidRDefault="0011107C" w:rsidP="0011107C">
      <w:pPr>
        <w:pStyle w:val="Heading2"/>
        <w:spacing w:line="276" w:lineRule="auto"/>
        <w:ind w:right="-471"/>
        <w:rPr>
          <w:rFonts w:ascii="Arial" w:hAnsi="Arial" w:cs="Arial"/>
        </w:rPr>
      </w:pPr>
      <w:bookmarkStart w:id="6" w:name="_3dy6vkm" w:colFirst="0" w:colLast="0"/>
      <w:bookmarkEnd w:id="6"/>
      <w:r w:rsidRPr="007831CA">
        <w:rPr>
          <w:rFonts w:ascii="Arial" w:hAnsi="Arial" w:cs="Arial"/>
        </w:rPr>
        <w:t xml:space="preserve">Module 2: </w:t>
      </w:r>
      <w:r w:rsidRPr="007831CA">
        <w:rPr>
          <w:rFonts w:ascii="Arial" w:hAnsi="Arial" w:cs="Arial"/>
        </w:rPr>
        <w:t>Analyzing</w:t>
      </w:r>
      <w:r w:rsidRPr="007831CA">
        <w:rPr>
          <w:rFonts w:ascii="Arial" w:hAnsi="Arial" w:cs="Arial"/>
        </w:rPr>
        <w:t xml:space="preserve"> Malware Artefacts 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The second module focuses on the practical aspects of </w:t>
      </w:r>
      <w:r w:rsidRPr="007831CA">
        <w:rPr>
          <w:rFonts w:ascii="Arial" w:hAnsi="Arial" w:cs="Arial"/>
        </w:rPr>
        <w:t>analyzing</w:t>
      </w:r>
      <w:r w:rsidRPr="007831CA">
        <w:rPr>
          <w:rFonts w:ascii="Arial" w:hAnsi="Arial" w:cs="Arial"/>
        </w:rPr>
        <w:t xml:space="preserve"> malicious artefacts. The focus is on getting the right combination of accuracy and speed. During practical attacks it is quite often to answer the question ‘is this malicious’ with a high degree of accuracy without going into the details. This module will cover how to quickly and reliably </w:t>
      </w:r>
      <w:r w:rsidRPr="007831CA">
        <w:rPr>
          <w:rFonts w:ascii="Arial" w:hAnsi="Arial" w:cs="Arial"/>
        </w:rPr>
        <w:t>analyze</w:t>
      </w:r>
      <w:r w:rsidRPr="007831CA">
        <w:rPr>
          <w:rFonts w:ascii="Arial" w:hAnsi="Arial" w:cs="Arial"/>
        </w:rPr>
        <w:t xml:space="preserve"> artefacts of which you assume they are malicious.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The focus will be on a number of tools that will assist in answering these questions quickly</w:t>
      </w:r>
    </w:p>
    <w:p w:rsidR="0011107C" w:rsidRPr="007831CA" w:rsidRDefault="0011107C" w:rsidP="0011107C">
      <w:pPr>
        <w:numPr>
          <w:ilvl w:val="0"/>
          <w:numId w:val="8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Automated sandboxing</w:t>
      </w:r>
    </w:p>
    <w:p w:rsidR="0011107C" w:rsidRPr="007831CA" w:rsidRDefault="0011107C" w:rsidP="0011107C">
      <w:pPr>
        <w:numPr>
          <w:ilvl w:val="0"/>
          <w:numId w:val="8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Packers and packing</w:t>
      </w:r>
    </w:p>
    <w:p w:rsidR="0011107C" w:rsidRPr="007831CA" w:rsidRDefault="0011107C" w:rsidP="0011107C">
      <w:pPr>
        <w:numPr>
          <w:ilvl w:val="0"/>
          <w:numId w:val="8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Dynamic analysis / reverse engineering, packet analysis</w:t>
      </w:r>
    </w:p>
    <w:p w:rsidR="0011107C" w:rsidRPr="007831CA" w:rsidRDefault="0011107C" w:rsidP="0011107C">
      <w:pPr>
        <w:numPr>
          <w:ilvl w:val="0"/>
          <w:numId w:val="8"/>
        </w:numPr>
        <w:spacing w:line="276" w:lineRule="auto"/>
        <w:ind w:right="-471"/>
        <w:rPr>
          <w:rFonts w:ascii="Arial" w:hAnsi="Arial" w:cs="Arial"/>
        </w:rPr>
      </w:pPr>
      <w:proofErr w:type="spellStart"/>
      <w:r w:rsidRPr="007831CA">
        <w:rPr>
          <w:rFonts w:ascii="Arial" w:hAnsi="Arial" w:cs="Arial"/>
        </w:rPr>
        <w:t>Volatiliy</w:t>
      </w:r>
      <w:proofErr w:type="spellEnd"/>
    </w:p>
    <w:p w:rsidR="0011107C" w:rsidRPr="007831CA" w:rsidRDefault="0011107C" w:rsidP="0011107C">
      <w:pPr>
        <w:numPr>
          <w:ilvl w:val="0"/>
          <w:numId w:val="8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Yara signatures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Overview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Rapid triage of suspicious artefacts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Malicious document analysis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Current techniques used by malware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Use of electronic sandboxes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proofErr w:type="spellStart"/>
      <w:r w:rsidRPr="007831CA">
        <w:rPr>
          <w:rFonts w:ascii="Arial" w:hAnsi="Arial" w:cs="Arial"/>
        </w:rPr>
        <w:t>Virustotal</w:t>
      </w:r>
      <w:proofErr w:type="spellEnd"/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Hybrid Analysis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proofErr w:type="spellStart"/>
      <w:r w:rsidRPr="007831CA">
        <w:rPr>
          <w:rFonts w:ascii="Arial" w:hAnsi="Arial" w:cs="Arial"/>
        </w:rPr>
        <w:t>Malwr</w:t>
      </w:r>
      <w:proofErr w:type="spellEnd"/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On-host analysis tools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Yara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Volatility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Analysis of reports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</w:p>
    <w:p w:rsidR="0011107C" w:rsidRPr="007831CA" w:rsidRDefault="0011107C" w:rsidP="0011107C">
      <w:pPr>
        <w:pStyle w:val="Heading2"/>
        <w:spacing w:line="276" w:lineRule="auto"/>
        <w:ind w:right="-471"/>
        <w:rPr>
          <w:rFonts w:ascii="Arial" w:hAnsi="Arial" w:cs="Arial"/>
        </w:rPr>
      </w:pPr>
      <w:bookmarkStart w:id="7" w:name="_1t3h5sf" w:colFirst="0" w:colLast="0"/>
      <w:bookmarkEnd w:id="7"/>
      <w:r w:rsidRPr="007831CA">
        <w:rPr>
          <w:rFonts w:ascii="Arial" w:hAnsi="Arial" w:cs="Arial"/>
        </w:rPr>
        <w:t>Module 3: Sharing Artefact information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In this module we discuss how you can share the findings of a brief investigation to best effect. 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Overview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Malware families and </w:t>
      </w:r>
      <w:r w:rsidRPr="007831CA">
        <w:rPr>
          <w:rFonts w:ascii="Arial" w:hAnsi="Arial" w:cs="Arial"/>
        </w:rPr>
        <w:t>categorization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Relationships to the AV market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TLP and IEP sharing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Threat intelligence sharing formats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MISP</w:t>
      </w:r>
    </w:p>
    <w:p w:rsidR="0011107C" w:rsidRPr="007831CA" w:rsidRDefault="0011107C" w:rsidP="0011107C">
      <w:pPr>
        <w:numPr>
          <w:ilvl w:val="1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>STIX / TAXII</w:t>
      </w:r>
    </w:p>
    <w:p w:rsidR="0011107C" w:rsidRPr="007831CA" w:rsidRDefault="0011107C" w:rsidP="0011107C">
      <w:pPr>
        <w:numPr>
          <w:ilvl w:val="0"/>
          <w:numId w:val="10"/>
        </w:numPr>
        <w:spacing w:line="276" w:lineRule="auto"/>
        <w:ind w:right="-471"/>
        <w:rPr>
          <w:rFonts w:ascii="Arial" w:hAnsi="Arial" w:cs="Arial"/>
        </w:rPr>
      </w:pPr>
      <w:r w:rsidRPr="007831CA">
        <w:rPr>
          <w:rFonts w:ascii="Arial" w:hAnsi="Arial" w:cs="Arial"/>
        </w:rPr>
        <w:t xml:space="preserve">IBM </w:t>
      </w:r>
      <w:proofErr w:type="spellStart"/>
      <w:r w:rsidRPr="007831CA">
        <w:rPr>
          <w:rFonts w:ascii="Arial" w:hAnsi="Arial" w:cs="Arial"/>
        </w:rPr>
        <w:t>Xforce</w:t>
      </w:r>
      <w:proofErr w:type="spellEnd"/>
      <w:r w:rsidRPr="007831CA">
        <w:rPr>
          <w:rFonts w:ascii="Arial" w:hAnsi="Arial" w:cs="Arial"/>
        </w:rPr>
        <w:t xml:space="preserve"> for malware research</w:t>
      </w:r>
    </w:p>
    <w:p w:rsidR="0011107C" w:rsidRPr="007831CA" w:rsidRDefault="0011107C" w:rsidP="0011107C">
      <w:pPr>
        <w:pStyle w:val="Heading1"/>
        <w:spacing w:line="276" w:lineRule="auto"/>
        <w:ind w:right="-471"/>
        <w:rPr>
          <w:rFonts w:ascii="Arial" w:hAnsi="Arial" w:cs="Arial"/>
        </w:rPr>
      </w:pPr>
      <w:bookmarkStart w:id="8" w:name="_4d34og8" w:colFirst="0" w:colLast="0"/>
      <w:bookmarkEnd w:id="8"/>
      <w:r w:rsidRPr="007831CA">
        <w:rPr>
          <w:rFonts w:ascii="Arial" w:hAnsi="Arial" w:cs="Arial"/>
        </w:rPr>
        <w:t>Example Schedule</w:t>
      </w:r>
    </w:p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3960"/>
        <w:gridCol w:w="1513"/>
        <w:gridCol w:w="1513"/>
      </w:tblGrid>
      <w:tr w:rsidR="0011107C" w:rsidRPr="007831CA" w:rsidTr="00A8176F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  <w:b/>
              </w:rPr>
            </w:pPr>
            <w:r w:rsidRPr="007831CA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39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  <w:b/>
              </w:rPr>
            </w:pPr>
            <w:r w:rsidRPr="007831CA">
              <w:rPr>
                <w:rFonts w:ascii="Arial" w:hAnsi="Arial" w:cs="Arial"/>
                <w:b/>
              </w:rPr>
              <w:t>Component</w:t>
            </w:r>
          </w:p>
        </w:tc>
        <w:tc>
          <w:tcPr>
            <w:tcW w:w="1513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  <w:b/>
              </w:rPr>
            </w:pPr>
            <w:r w:rsidRPr="007831CA">
              <w:rPr>
                <w:rFonts w:ascii="Arial" w:hAnsi="Arial" w:cs="Arial"/>
                <w:b/>
              </w:rPr>
              <w:t>Duration</w:t>
            </w:r>
          </w:p>
        </w:tc>
        <w:tc>
          <w:tcPr>
            <w:tcW w:w="1513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  <w:b/>
              </w:rPr>
            </w:pPr>
            <w:r w:rsidRPr="007831CA">
              <w:rPr>
                <w:rFonts w:ascii="Arial" w:hAnsi="Arial" w:cs="Arial"/>
                <w:b/>
              </w:rPr>
              <w:t>Cumulative</w:t>
            </w: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8:30-9:30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Module 1: Theory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60 minutes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60 minutes</w:t>
            </w: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9:30 - 10.00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Module 1: Incident Lab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30 minutes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90 minutes</w:t>
            </w: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10:00-10:30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Module 1: Environment Demo / Lab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30 minutes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120 minutes</w:t>
            </w: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10:30-11:00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BREAK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11:00-12:00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Module 2: Theory 2.0 and 2.1, Lab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60 minutes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180 minutes</w:t>
            </w: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12:00-13:00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LUNCH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13:00-14:00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Module 2: Theory 2.2, Lab 2.2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60 minutes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240 minutes</w:t>
            </w: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14:00-14:30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Module 2: Theory 2.3, Lab 2.3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30 minutes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270 minutes</w:t>
            </w: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14:30-15:00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BREAK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15:00-16:00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Module 2: Theory 2.4, Lab 2.4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60 minutes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330 minutes</w:t>
            </w: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16:00-16:30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Module 2: Theory 2.5, Lab 2.5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30 minutes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360 minutes</w:t>
            </w:r>
          </w:p>
        </w:tc>
      </w:tr>
      <w:tr w:rsidR="0011107C" w:rsidRPr="007831CA" w:rsidTr="00A8176F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16:30-17:30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Module 3: Theory, Demos, final discussion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60 minutes</w:t>
            </w:r>
          </w:p>
        </w:tc>
        <w:tc>
          <w:tcPr>
            <w:tcW w:w="1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107C" w:rsidRPr="007831CA" w:rsidRDefault="0011107C" w:rsidP="00111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71"/>
              <w:jc w:val="left"/>
              <w:rPr>
                <w:rFonts w:ascii="Arial" w:hAnsi="Arial" w:cs="Arial"/>
              </w:rPr>
            </w:pPr>
            <w:r w:rsidRPr="007831CA">
              <w:rPr>
                <w:rFonts w:ascii="Arial" w:hAnsi="Arial" w:cs="Arial"/>
              </w:rPr>
              <w:t>420 minutes</w:t>
            </w:r>
          </w:p>
        </w:tc>
      </w:tr>
    </w:tbl>
    <w:p w:rsidR="0011107C" w:rsidRPr="007831CA" w:rsidRDefault="0011107C" w:rsidP="0011107C">
      <w:pPr>
        <w:spacing w:line="276" w:lineRule="auto"/>
        <w:ind w:right="-471"/>
        <w:rPr>
          <w:rFonts w:ascii="Arial" w:hAnsi="Arial" w:cs="Arial"/>
        </w:rPr>
      </w:pPr>
    </w:p>
    <w:p w:rsidR="00E368E7" w:rsidRPr="00876EEC" w:rsidRDefault="00E368E7" w:rsidP="0011107C">
      <w:pPr>
        <w:spacing w:line="276" w:lineRule="auto"/>
        <w:ind w:right="-471"/>
        <w:rPr>
          <w:lang w:val="en-US"/>
        </w:rPr>
      </w:pPr>
      <w:bookmarkStart w:id="9" w:name="_GoBack"/>
      <w:bookmarkEnd w:id="9"/>
    </w:p>
    <w:sectPr w:rsidR="00E368E7" w:rsidRPr="00876EEC" w:rsidSect="0011107C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022" w:right="1440" w:bottom="107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760" w:rsidRDefault="009D3760">
      <w:r>
        <w:separator/>
      </w:r>
    </w:p>
    <w:p w:rsidR="009D3760" w:rsidRDefault="009D3760"/>
  </w:endnote>
  <w:endnote w:type="continuationSeparator" w:id="0">
    <w:p w:rsidR="009D3760" w:rsidRDefault="009D3760">
      <w:r>
        <w:continuationSeparator/>
      </w:r>
    </w:p>
    <w:p w:rsidR="009D3760" w:rsidRDefault="009D37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1291" w:rsidRPr="00876EEC" w:rsidRDefault="00876EEC">
        <w:pPr>
          <w:pStyle w:val="Footer"/>
          <w:rPr>
            <w:rFonts w:ascii="Arial" w:hAnsi="Arial" w:cs="Arial"/>
            <w:sz w:val="16"/>
            <w:szCs w:val="16"/>
            <w:lang w:val="en-US"/>
          </w:rPr>
        </w:pPr>
        <w:r w:rsidRPr="00876EEC">
          <w:rPr>
            <w:rFonts w:ascii="Arial" w:hAnsi="Arial" w:cs="Arial"/>
            <w:sz w:val="16"/>
            <w:szCs w:val="16"/>
            <w:lang w:val="en-US"/>
          </w:rPr>
          <w:t xml:space="preserve"> </w:t>
        </w:r>
        <w:r w:rsidRPr="002F6055">
          <w:rPr>
            <w:rFonts w:ascii="Arial" w:hAnsi="Arial" w:cs="Arial"/>
            <w:sz w:val="16"/>
            <w:szCs w:val="16"/>
            <w:lang w:val="en-US"/>
          </w:rPr>
          <w:t>Copyright © 2019 Forum of Incident Response and Security Teams, Inc. All Rights Reserved.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EEC" w:rsidRPr="00876EEC" w:rsidRDefault="00876EEC">
    <w:pPr>
      <w:pStyle w:val="Footer"/>
      <w:rPr>
        <w:rFonts w:ascii="Arial" w:hAnsi="Arial" w:cs="Arial"/>
        <w:sz w:val="16"/>
        <w:szCs w:val="16"/>
        <w:lang w:val="en-US"/>
      </w:rPr>
    </w:pPr>
    <w:r w:rsidRPr="002F6055">
      <w:rPr>
        <w:rFonts w:ascii="Arial" w:hAnsi="Arial" w:cs="Arial"/>
        <w:sz w:val="16"/>
        <w:szCs w:val="16"/>
        <w:lang w:val="en-US"/>
      </w:rPr>
      <w:t>Copyright © 2019 Forum of Incident Response and Security Teams, Inc.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760" w:rsidRDefault="009D3760">
      <w:r>
        <w:separator/>
      </w:r>
    </w:p>
    <w:p w:rsidR="009D3760" w:rsidRDefault="009D3760"/>
  </w:footnote>
  <w:footnote w:type="continuationSeparator" w:id="0">
    <w:p w:rsidR="009D3760" w:rsidRDefault="009D3760">
      <w:r>
        <w:continuationSeparator/>
      </w:r>
    </w:p>
    <w:p w:rsidR="009D3760" w:rsidRDefault="009D37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EEC" w:rsidRDefault="00876EEC">
    <w:pPr>
      <w:pStyle w:val="Header"/>
    </w:pPr>
    <w:r>
      <w:rPr>
        <w:noProof/>
        <w:lang w:val="en-GB"/>
      </w:rPr>
      <w:drawing>
        <wp:anchor distT="0" distB="0" distL="114300" distR="114300" simplePos="0" relativeHeight="251661312" behindDoc="1" locked="0" layoutInCell="1" allowOverlap="1" wp14:anchorId="1098A0A8" wp14:editId="277FDFF1">
          <wp:simplePos x="0" y="0"/>
          <wp:positionH relativeFrom="margin">
            <wp:posOffset>-1771650</wp:posOffset>
          </wp:positionH>
          <wp:positionV relativeFrom="paragraph">
            <wp:posOffset>-578168</wp:posOffset>
          </wp:positionV>
          <wp:extent cx="9671050" cy="1009650"/>
          <wp:effectExtent l="19050" t="0" r="6350" b="0"/>
          <wp:wrapNone/>
          <wp:docPr id="1" name="Picture 4" descr="FIRST-HEADER-ELECTRONI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-HEADER-ELECTRONI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71050" cy="1009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6C2" w:rsidRDefault="00C936C2">
    <w:pPr>
      <w:pStyle w:val="Header"/>
    </w:pPr>
    <w:r>
      <w:rPr>
        <w:noProof/>
        <w:lang w:val="en-GB"/>
      </w:rPr>
      <w:drawing>
        <wp:anchor distT="0" distB="0" distL="114300" distR="114300" simplePos="0" relativeHeight="251659264" behindDoc="1" locked="0" layoutInCell="1" allowOverlap="1" wp14:anchorId="2DADC9DD" wp14:editId="316AF53A">
          <wp:simplePos x="0" y="0"/>
          <wp:positionH relativeFrom="margin">
            <wp:posOffset>-1828800</wp:posOffset>
          </wp:positionH>
          <wp:positionV relativeFrom="paragraph">
            <wp:posOffset>-402752</wp:posOffset>
          </wp:positionV>
          <wp:extent cx="9671050" cy="1009650"/>
          <wp:effectExtent l="0" t="0" r="6350" b="6350"/>
          <wp:wrapNone/>
          <wp:docPr id="5" name="Picture 4" descr="FIRST-HEADER-ELECTRONI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-HEADER-ELECTRONI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71050" cy="1009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271172"/>
    <w:multiLevelType w:val="multilevel"/>
    <w:tmpl w:val="FCEC78F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20EDB"/>
    <w:multiLevelType w:val="hybridMultilevel"/>
    <w:tmpl w:val="52BEB8A8"/>
    <w:lvl w:ilvl="0" w:tplc="EA7AFE56"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E2B07"/>
    <w:multiLevelType w:val="multilevel"/>
    <w:tmpl w:val="CAD4CC9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u w:val="none"/>
      </w:rPr>
    </w:lvl>
  </w:abstractNum>
  <w:abstractNum w:abstractNumId="6" w15:restartNumberingAfterBreak="0">
    <w:nsid w:val="35776077"/>
    <w:multiLevelType w:val="multilevel"/>
    <w:tmpl w:val="DAB851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77F4A74"/>
    <w:multiLevelType w:val="hybridMultilevel"/>
    <w:tmpl w:val="CB1A4000"/>
    <w:lvl w:ilvl="0" w:tplc="EA7AFE56"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702B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7C"/>
    <w:rsid w:val="000A71A9"/>
    <w:rsid w:val="000C46E0"/>
    <w:rsid w:val="000C7D9A"/>
    <w:rsid w:val="0011107C"/>
    <w:rsid w:val="002F1B70"/>
    <w:rsid w:val="004227FE"/>
    <w:rsid w:val="00443A71"/>
    <w:rsid w:val="00486F34"/>
    <w:rsid w:val="00555A9E"/>
    <w:rsid w:val="00662B2D"/>
    <w:rsid w:val="006B0FAC"/>
    <w:rsid w:val="00716A8D"/>
    <w:rsid w:val="007B1579"/>
    <w:rsid w:val="00876EEC"/>
    <w:rsid w:val="008A0C70"/>
    <w:rsid w:val="009D3760"/>
    <w:rsid w:val="009F0C25"/>
    <w:rsid w:val="00A476CF"/>
    <w:rsid w:val="00AD5C5F"/>
    <w:rsid w:val="00B131A8"/>
    <w:rsid w:val="00B87C3E"/>
    <w:rsid w:val="00C51427"/>
    <w:rsid w:val="00C936C2"/>
    <w:rsid w:val="00DF7255"/>
    <w:rsid w:val="00E31291"/>
    <w:rsid w:val="00E368E7"/>
    <w:rsid w:val="00E809F2"/>
    <w:rsid w:val="00EA4A91"/>
    <w:rsid w:val="00EE021C"/>
    <w:rsid w:val="00F700D1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F52EC"/>
  <w15:chartTrackingRefBased/>
  <w15:docId w15:val="{8672C162-8976-B142-9108-22F4E01A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de-DE" w:eastAsia="ja-JP" w:bidi="de-DE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07C"/>
    <w:pPr>
      <w:spacing w:after="0" w:line="360" w:lineRule="auto"/>
      <w:jc w:val="both"/>
    </w:pPr>
    <w:rPr>
      <w:rFonts w:ascii="Cambria" w:eastAsia="Cambria" w:hAnsi="Cambria" w:cs="Cambria"/>
      <w:color w:val="auto"/>
      <w:sz w:val="22"/>
      <w:szCs w:val="22"/>
      <w:lang w:val="en" w:eastAsia="en-GB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731C3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46E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0C46E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76EEC"/>
    <w:rPr>
      <w:color w:val="214C5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oz/Library/Group%20Containers/UBF8T346G9.Office/User%20Content.localized/Templates.localized/FIRST_A4.dotx" TargetMode="Externa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FIRST_A4.dotx</Template>
  <TotalTime>4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IPv6 Security Training</vt:lpstr>
      <vt:lpstr/>
    </vt:vector>
  </TitlesOfParts>
  <Manager/>
  <Company>FIRST Inc</Company>
  <LinksUpToDate>false</LinksUpToDate>
  <CharactersWithSpaces>3714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IPv6 Security Training</dc:title>
  <dc:subject/>
  <dc:creator>Serge Droz</dc:creator>
  <cp:keywords/>
  <dc:description/>
  <cp:lastModifiedBy>Serge Droz</cp:lastModifiedBy>
  <cp:revision>1</cp:revision>
  <dcterms:created xsi:type="dcterms:W3CDTF">2019-12-16T11:43:00Z</dcterms:created>
  <dcterms:modified xsi:type="dcterms:W3CDTF">2019-12-16T11:47:00Z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FIRST Inv</vt:lpwstr>
  </property>
</Properties>
</file>